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477" w:rsidRPr="00FF4FC3" w:rsidRDefault="00624477" w:rsidP="00624477">
      <w:pPr>
        <w:tabs>
          <w:tab w:val="left" w:pos="5910"/>
        </w:tabs>
        <w:rPr>
          <w:rFonts w:ascii="IranNastaliq" w:hAnsi="IranNastaliq" w:cs="B Titr"/>
          <w:sz w:val="28"/>
          <w:szCs w:val="28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(کاربرگ طرح درس)</w:t>
      </w:r>
      <w:r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               </w:t>
      </w:r>
      <w:r w:rsidRPr="00FF4FC3">
        <w:rPr>
          <w:rFonts w:ascii="IranNastaliq" w:hAnsi="IranNastaliq" w:cs="B Lotus" w:hint="cs"/>
          <w:sz w:val="28"/>
          <w:szCs w:val="28"/>
          <w:rtl/>
          <w:lang w:bidi="fa-IR"/>
        </w:rPr>
        <w:t>تاریخ بروزرسانی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>:</w:t>
      </w:r>
      <w:r w:rsidRPr="00FF4FC3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</w:t>
      </w:r>
      <w:r w:rsidR="009A3EA8">
        <w:rPr>
          <w:rFonts w:ascii="IranNastaliq" w:hAnsi="IranNastaliq" w:cs="B Titr" w:hint="cs"/>
          <w:sz w:val="28"/>
          <w:szCs w:val="28"/>
          <w:rtl/>
          <w:lang w:bidi="fa-IR"/>
        </w:rPr>
        <w:t>1400</w:t>
      </w:r>
    </w:p>
    <w:p w:rsidR="00624477" w:rsidRPr="00FF4FC3" w:rsidRDefault="00624477" w:rsidP="009A3EA8">
      <w:pPr>
        <w:tabs>
          <w:tab w:val="left" w:pos="5910"/>
        </w:tabs>
        <w:rPr>
          <w:rFonts w:ascii="IranNastaliq" w:hAnsi="IranNastaliq" w:cs="B Lotus"/>
          <w:sz w:val="28"/>
          <w:szCs w:val="28"/>
          <w:rtl/>
          <w:lang w:bidi="fa-IR"/>
        </w:rPr>
      </w:pPr>
      <w:r>
        <w:rPr>
          <w:rFonts w:ascii="IranNastaliq" w:hAnsi="IranNastaliq" w:cs="IranNastaliq" w:hint="cs"/>
          <w:rtl/>
          <w:lang w:bidi="fa-IR"/>
        </w:rPr>
        <w:t>دانشکده .....</w:t>
      </w:r>
      <w:r w:rsidR="009A3EA8">
        <w:rPr>
          <w:rFonts w:ascii="IranNastaliq" w:hAnsi="IranNastaliq" w:cs="IranNastaliq" w:hint="cs"/>
          <w:rtl/>
          <w:lang w:bidi="fa-IR"/>
        </w:rPr>
        <w:t>علوم انسانی</w:t>
      </w:r>
      <w:r>
        <w:rPr>
          <w:rFonts w:ascii="IranNastaliq" w:hAnsi="IranNastaliq" w:cs="IranNastaliq" w:hint="cs"/>
          <w:rtl/>
          <w:lang w:bidi="fa-IR"/>
        </w:rPr>
        <w:t xml:space="preserve">......................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</w:t>
      </w:r>
      <w:r w:rsidR="009A3EA8"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/دوم سال تحصیلی </w:t>
      </w:r>
      <w:r w:rsidR="009A3EA8">
        <w:rPr>
          <w:rFonts w:ascii="IranNastaliq" w:hAnsi="IranNastaliq" w:cs="B Lotus" w:hint="cs"/>
          <w:sz w:val="28"/>
          <w:szCs w:val="28"/>
          <w:rtl/>
          <w:lang w:bidi="fa-IR"/>
        </w:rPr>
        <w:t>1400/1401</w:t>
      </w:r>
    </w:p>
    <w:tbl>
      <w:tblPr>
        <w:tblStyle w:val="TableGrid"/>
        <w:tblW w:w="10566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599"/>
        <w:gridCol w:w="2147"/>
        <w:gridCol w:w="720"/>
        <w:gridCol w:w="975"/>
      </w:tblGrid>
      <w:tr w:rsidR="00624477" w:rsidTr="000E2D9B">
        <w:trPr>
          <w:trHeight w:val="386"/>
          <w:jc w:val="center"/>
        </w:trPr>
        <w:tc>
          <w:tcPr>
            <w:tcW w:w="4045" w:type="dxa"/>
            <w:gridSpan w:val="3"/>
          </w:tcPr>
          <w:p w:rsidR="00624477" w:rsidRDefault="00624477" w:rsidP="000E2D9B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Pr="003C2AD5">
              <w:rPr>
                <w:rFonts w:ascii="IranNastaliq" w:hAnsi="IranNastaliq" w:cs="B Mitra" w:hint="cs"/>
                <w:sz w:val="28"/>
                <w:szCs w:val="28"/>
                <w:lang w:bidi="fa-IR"/>
              </w:rPr>
              <w:sym w:font="Wingdings 2" w:char="F052"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 ارشد</w:t>
            </w:r>
            <w:r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دکتری</w:t>
            </w:r>
            <w:r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679" w:type="dxa"/>
            <w:gridSpan w:val="2"/>
          </w:tcPr>
          <w:p w:rsidR="00624477" w:rsidRPr="003C2AD5" w:rsidRDefault="00624477" w:rsidP="000E2D9B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تعداد واحد: نظری </w:t>
            </w:r>
            <w:r w:rsidRPr="003C2AD5">
              <w:rPr>
                <w:rFonts w:ascii="IranNastaliq" w:hAnsi="IranNastaliq" w:cs="B Mitra" w:hint="cs"/>
                <w:sz w:val="28"/>
                <w:szCs w:val="28"/>
                <w:lang w:bidi="fa-IR"/>
              </w:rPr>
              <w:sym w:font="Wingdings 2" w:char="F052"/>
            </w:r>
            <w:r w:rsidRPr="003C2AD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عملی </w:t>
            </w:r>
            <w:r w:rsidRPr="003C2AD5">
              <w:rPr>
                <w:rFonts w:asciiTheme="majorBidi" w:hAnsiTheme="majorBidi" w:cstheme="majorBidi"/>
                <w:sz w:val="28"/>
                <w:szCs w:val="28"/>
                <w:lang w:bidi="fa-IR"/>
              </w:rPr>
              <w:sym w:font="Wingdings 2" w:char="F0A3"/>
            </w:r>
          </w:p>
        </w:tc>
        <w:tc>
          <w:tcPr>
            <w:tcW w:w="2867" w:type="dxa"/>
            <w:gridSpan w:val="2"/>
          </w:tcPr>
          <w:p w:rsidR="00624477" w:rsidRPr="005908E6" w:rsidRDefault="00624477" w:rsidP="000E2D9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>
              <w:rPr>
                <w:rFonts w:ascii="IranNastaliq" w:hAnsi="IranNastaliq" w:cs="B Nazanin" w:hint="cs"/>
                <w:sz w:val="26"/>
                <w:szCs w:val="26"/>
                <w:rtl/>
                <w:lang w:bidi="fa-IR"/>
              </w:rPr>
              <w:t xml:space="preserve">تاریخ تحلیلی صدر اسلام </w:t>
            </w:r>
          </w:p>
        </w:tc>
        <w:tc>
          <w:tcPr>
            <w:tcW w:w="975" w:type="dxa"/>
            <w:vMerge w:val="restart"/>
          </w:tcPr>
          <w:p w:rsidR="00624477" w:rsidRPr="00047D53" w:rsidRDefault="00624477" w:rsidP="000E2D9B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624477" w:rsidRDefault="00624477" w:rsidP="000E2D9B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624477" w:rsidTr="000E2D9B">
        <w:trPr>
          <w:trHeight w:val="341"/>
          <w:jc w:val="center"/>
        </w:trPr>
        <w:tc>
          <w:tcPr>
            <w:tcW w:w="6724" w:type="dxa"/>
            <w:gridSpan w:val="5"/>
          </w:tcPr>
          <w:p w:rsidR="00624477" w:rsidRDefault="00624477" w:rsidP="000E2D9B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-</w:t>
            </w:r>
          </w:p>
        </w:tc>
        <w:tc>
          <w:tcPr>
            <w:tcW w:w="2867" w:type="dxa"/>
            <w:gridSpan w:val="2"/>
          </w:tcPr>
          <w:p w:rsidR="00624477" w:rsidRPr="005908E6" w:rsidRDefault="00624477" w:rsidP="000E2D9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-</w:t>
            </w:r>
          </w:p>
        </w:tc>
        <w:tc>
          <w:tcPr>
            <w:tcW w:w="975" w:type="dxa"/>
            <w:vMerge/>
          </w:tcPr>
          <w:p w:rsidR="00624477" w:rsidRDefault="00624477" w:rsidP="000E2D9B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624477" w:rsidTr="000E2D9B">
        <w:trPr>
          <w:trHeight w:val="395"/>
          <w:jc w:val="center"/>
        </w:trPr>
        <w:tc>
          <w:tcPr>
            <w:tcW w:w="5125" w:type="dxa"/>
            <w:gridSpan w:val="4"/>
          </w:tcPr>
          <w:p w:rsidR="00624477" w:rsidRPr="00E31D17" w:rsidRDefault="00624477" w:rsidP="000E2D9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-</w:t>
            </w:r>
          </w:p>
        </w:tc>
        <w:tc>
          <w:tcPr>
            <w:tcW w:w="5441" w:type="dxa"/>
            <w:gridSpan w:val="4"/>
          </w:tcPr>
          <w:p w:rsidR="00624477" w:rsidRDefault="00624477" w:rsidP="009A3EA8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26724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9A3EA8">
              <w:rPr>
                <w:rFonts w:ascii="IranNastaliq" w:hAnsi="IranNastaliq" w:cs="B Nazanin" w:hint="cs"/>
                <w:sz w:val="26"/>
                <w:szCs w:val="26"/>
                <w:rtl/>
                <w:lang w:bidi="fa-IR"/>
              </w:rPr>
              <w:t>حسینعلی عربی</w:t>
            </w:r>
          </w:p>
        </w:tc>
      </w:tr>
      <w:tr w:rsidR="00624477" w:rsidTr="000E2D9B">
        <w:trPr>
          <w:trHeight w:val="341"/>
          <w:jc w:val="center"/>
        </w:trPr>
        <w:tc>
          <w:tcPr>
            <w:tcW w:w="5125" w:type="dxa"/>
            <w:gridSpan w:val="4"/>
          </w:tcPr>
          <w:p w:rsidR="00624477" w:rsidRPr="00E31D17" w:rsidRDefault="00624477" w:rsidP="000E2D9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-</w:t>
            </w:r>
          </w:p>
        </w:tc>
        <w:tc>
          <w:tcPr>
            <w:tcW w:w="5441" w:type="dxa"/>
            <w:gridSpan w:val="4"/>
          </w:tcPr>
          <w:p w:rsidR="00624477" w:rsidRDefault="00624477" w:rsidP="000E2D9B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- </w:t>
            </w:r>
          </w:p>
        </w:tc>
      </w:tr>
      <w:tr w:rsidR="00624477" w:rsidTr="000E2D9B">
        <w:trPr>
          <w:trHeight w:val="341"/>
          <w:jc w:val="center"/>
        </w:trPr>
        <w:tc>
          <w:tcPr>
            <w:tcW w:w="10566" w:type="dxa"/>
            <w:gridSpan w:val="8"/>
          </w:tcPr>
          <w:p w:rsidR="00624477" w:rsidRPr="00E31D17" w:rsidRDefault="00624477" w:rsidP="009A3EA8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برنامه تدریس در هفته و شماره کلاس: </w:t>
            </w:r>
            <w:bookmarkStart w:id="0" w:name="_GoBack"/>
            <w:bookmarkEnd w:id="0"/>
          </w:p>
        </w:tc>
      </w:tr>
      <w:tr w:rsidR="00624477" w:rsidTr="000E2D9B">
        <w:trPr>
          <w:trHeight w:val="359"/>
          <w:jc w:val="center"/>
        </w:trPr>
        <w:tc>
          <w:tcPr>
            <w:tcW w:w="10566" w:type="dxa"/>
            <w:gridSpan w:val="8"/>
          </w:tcPr>
          <w:p w:rsidR="00624477" w:rsidRPr="00635E32" w:rsidRDefault="00624477" w:rsidP="00805B08">
            <w:pPr>
              <w:jc w:val="right"/>
              <w:rPr>
                <w:rFonts w:ascii="IranNastaliq" w:hAnsi="IranNastaliq" w:cs="B Nazanin"/>
                <w:sz w:val="26"/>
                <w:szCs w:val="26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Pr="00191356">
              <w:rPr>
                <w:rFonts w:ascii="IranNastaliq" w:hAnsi="IranNastaliq" w:cs="B Nazanin" w:hint="cs"/>
                <w:sz w:val="26"/>
                <w:szCs w:val="26"/>
                <w:rtl/>
                <w:lang w:bidi="fa-IR"/>
              </w:rPr>
              <w:t xml:space="preserve">آگاهی از مباحث تاریخی در متون منابع اصیل و اولیه، </w:t>
            </w:r>
            <w:r>
              <w:rPr>
                <w:rFonts w:ascii="IranNastaliq" w:hAnsi="IranNastaliq" w:cs="B Nazanin" w:hint="cs"/>
                <w:sz w:val="26"/>
                <w:szCs w:val="26"/>
                <w:rtl/>
                <w:lang w:bidi="fa-IR"/>
              </w:rPr>
              <w:t xml:space="preserve">بررسی علل و عوامل شکل گیری حوادث و عبرت آموزی </w:t>
            </w:r>
            <w:r w:rsidRPr="00191356">
              <w:rPr>
                <w:rFonts w:ascii="IranNastaliq" w:hAnsi="IranNastaliq" w:cs="B Nazanin" w:hint="cs"/>
                <w:sz w:val="26"/>
                <w:szCs w:val="26"/>
                <w:rtl/>
                <w:lang w:bidi="fa-IR"/>
              </w:rPr>
              <w:t xml:space="preserve"> </w:t>
            </w:r>
          </w:p>
        </w:tc>
      </w:tr>
      <w:tr w:rsidR="00624477" w:rsidTr="000E2D9B">
        <w:trPr>
          <w:trHeight w:val="395"/>
          <w:jc w:val="center"/>
        </w:trPr>
        <w:tc>
          <w:tcPr>
            <w:tcW w:w="10566" w:type="dxa"/>
            <w:gridSpan w:val="8"/>
          </w:tcPr>
          <w:p w:rsidR="00624477" w:rsidRPr="008D2DEA" w:rsidRDefault="00624477" w:rsidP="000E2D9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استفاده از تجهیزات کمک آموزشی از قبیل ویدئو پرژکتور و تخته هوشمند</w:t>
            </w:r>
          </w:p>
        </w:tc>
      </w:tr>
      <w:tr w:rsidR="00624477" w:rsidTr="000E2D9B">
        <w:trPr>
          <w:trHeight w:val="224"/>
          <w:jc w:val="center"/>
        </w:trPr>
        <w:tc>
          <w:tcPr>
            <w:tcW w:w="1525" w:type="dxa"/>
          </w:tcPr>
          <w:p w:rsidR="00624477" w:rsidRPr="00C1549F" w:rsidRDefault="00624477" w:rsidP="000E2D9B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624477" w:rsidRPr="00C1549F" w:rsidRDefault="00624477" w:rsidP="000E2D9B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624477" w:rsidRPr="00C1549F" w:rsidRDefault="00624477" w:rsidP="000E2D9B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746" w:type="dxa"/>
            <w:gridSpan w:val="2"/>
          </w:tcPr>
          <w:p w:rsidR="00624477" w:rsidRPr="00C1549F" w:rsidRDefault="00624477" w:rsidP="000E2D9B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624477" w:rsidRPr="00E13C35" w:rsidRDefault="00624477" w:rsidP="000E2D9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624477" w:rsidTr="000E2D9B">
        <w:trPr>
          <w:trHeight w:val="278"/>
          <w:jc w:val="center"/>
        </w:trPr>
        <w:tc>
          <w:tcPr>
            <w:tcW w:w="1525" w:type="dxa"/>
          </w:tcPr>
          <w:p w:rsidR="00624477" w:rsidRPr="00F90470" w:rsidRDefault="009A3EA8" w:rsidP="000E2D9B">
            <w:pPr>
              <w:widowControl w:val="0"/>
              <w:bidi/>
              <w:spacing w:line="18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530" w:type="dxa"/>
          </w:tcPr>
          <w:p w:rsidR="00624477" w:rsidRPr="00FE7024" w:rsidRDefault="00624477" w:rsidP="000E2D9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</w:t>
            </w:r>
            <w:r w:rsidR="009A3EA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070" w:type="dxa"/>
            <w:gridSpan w:val="2"/>
          </w:tcPr>
          <w:p w:rsidR="00624477" w:rsidRPr="00FE7024" w:rsidRDefault="00624477" w:rsidP="000E2D9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</w:t>
            </w:r>
            <w:r w:rsidR="009A3EA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746" w:type="dxa"/>
            <w:gridSpan w:val="2"/>
          </w:tcPr>
          <w:p w:rsidR="00624477" w:rsidRPr="00FE7024" w:rsidRDefault="00624477" w:rsidP="000E2D9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</w:t>
            </w:r>
            <w:r w:rsidR="009A3EA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1695" w:type="dxa"/>
            <w:gridSpan w:val="2"/>
          </w:tcPr>
          <w:p w:rsidR="00624477" w:rsidRPr="00E13C35" w:rsidRDefault="00624477" w:rsidP="000E2D9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624477" w:rsidTr="000E2D9B">
        <w:trPr>
          <w:trHeight w:val="1115"/>
          <w:jc w:val="center"/>
        </w:trPr>
        <w:tc>
          <w:tcPr>
            <w:tcW w:w="8871" w:type="dxa"/>
            <w:gridSpan w:val="6"/>
          </w:tcPr>
          <w:p w:rsidR="00624477" w:rsidRPr="002B5AF1" w:rsidRDefault="00624477" w:rsidP="00805B08">
            <w:pPr>
              <w:bidi/>
              <w:jc w:val="both"/>
              <w:rPr>
                <w:rFonts w:ascii="IranNastaliq" w:hAnsi="IranNastaliq" w:cs="B Mitra"/>
                <w:sz w:val="26"/>
                <w:szCs w:val="26"/>
                <w:lang w:bidi="fa-IR"/>
              </w:rPr>
            </w:pPr>
            <w:r>
              <w:rPr>
                <w:rFonts w:ascii="IranNastaliq" w:hAnsi="IranNastaliq" w:cs="B Nazanin" w:hint="cs"/>
                <w:sz w:val="26"/>
                <w:szCs w:val="26"/>
                <w:rtl/>
                <w:lang w:bidi="fa-IR"/>
              </w:rPr>
              <w:t xml:space="preserve">تاریخ امامت </w:t>
            </w:r>
            <w:r w:rsidR="00805B08">
              <w:rPr>
                <w:rFonts w:ascii="IranNastaliq" w:hAnsi="IranNastaliq" w:cs="B Nazanin"/>
                <w:sz w:val="26"/>
                <w:szCs w:val="26"/>
                <w:lang w:bidi="fa-IR"/>
              </w:rPr>
              <w:t>/</w:t>
            </w:r>
            <w:r w:rsidR="00805B08">
              <w:rPr>
                <w:rFonts w:ascii="IranNastaliq" w:hAnsi="IranNastaliq" w:cs="B Nazanin" w:hint="cs"/>
                <w:sz w:val="26"/>
                <w:szCs w:val="26"/>
                <w:rtl/>
                <w:lang w:bidi="fa-IR"/>
              </w:rPr>
              <w:t xml:space="preserve">اصغر </w:t>
            </w:r>
            <w:r>
              <w:rPr>
                <w:rFonts w:ascii="IranNastaliq" w:hAnsi="IranNastaliq" w:cs="B Nazanin" w:hint="cs"/>
                <w:sz w:val="26"/>
                <w:szCs w:val="26"/>
                <w:rtl/>
                <w:lang w:bidi="fa-IR"/>
              </w:rPr>
              <w:t xml:space="preserve">منتظر القائم- تاریخ تحلیلی صدر اسلام (علی اکبر حسنی) و آقای نصیری </w:t>
            </w:r>
          </w:p>
        </w:tc>
        <w:tc>
          <w:tcPr>
            <w:tcW w:w="1695" w:type="dxa"/>
            <w:gridSpan w:val="2"/>
          </w:tcPr>
          <w:p w:rsidR="00624477" w:rsidRDefault="00624477" w:rsidP="000E2D9B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624477" w:rsidRDefault="00624477" w:rsidP="000E2D9B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24477" w:rsidRPr="005C644B" w:rsidRDefault="00624477" w:rsidP="00624477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624477" w:rsidTr="000E2D9B">
        <w:trPr>
          <w:trHeight w:val="383"/>
          <w:jc w:val="center"/>
        </w:trPr>
        <w:tc>
          <w:tcPr>
            <w:tcW w:w="1975" w:type="dxa"/>
          </w:tcPr>
          <w:p w:rsidR="00624477" w:rsidRPr="00891C14" w:rsidRDefault="00624477" w:rsidP="000E2D9B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624477" w:rsidRPr="00891C14" w:rsidRDefault="00624477" w:rsidP="000E2D9B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624477" w:rsidRPr="00891C14" w:rsidRDefault="00624477" w:rsidP="000E2D9B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624477" w:rsidTr="000E2D9B">
        <w:trPr>
          <w:trHeight w:val="152"/>
          <w:jc w:val="center"/>
        </w:trPr>
        <w:tc>
          <w:tcPr>
            <w:tcW w:w="1975" w:type="dxa"/>
          </w:tcPr>
          <w:p w:rsidR="00624477" w:rsidRPr="00191356" w:rsidRDefault="00624477" w:rsidP="000E2D9B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7200" w:type="dxa"/>
          </w:tcPr>
          <w:p w:rsidR="00624477" w:rsidRPr="00191356" w:rsidRDefault="00624477" w:rsidP="00805B08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Nazanin"/>
                <w:sz w:val="26"/>
                <w:szCs w:val="26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6"/>
                <w:szCs w:val="26"/>
                <w:rtl/>
                <w:lang w:bidi="fa-IR"/>
              </w:rPr>
              <w:t xml:space="preserve">بیان مباحث پایه در تاریخ صدر اسلام، بررسی جغرافیا و فرهنگ </w:t>
            </w:r>
            <w:r w:rsidR="00805B08">
              <w:rPr>
                <w:rFonts w:ascii="IranNastaliq" w:hAnsi="IranNastaliq" w:cs="B Nazanin" w:hint="cs"/>
                <w:sz w:val="26"/>
                <w:szCs w:val="26"/>
                <w:rtl/>
                <w:lang w:bidi="fa-IR"/>
              </w:rPr>
              <w:t>عمومی جزیره</w:t>
            </w:r>
            <w:r w:rsidR="00805B08">
              <w:rPr>
                <w:rFonts w:ascii="IranNastaliq" w:hAnsi="IranNastaliq" w:cs="B Nazanin" w:hint="cs"/>
                <w:sz w:val="26"/>
                <w:szCs w:val="26"/>
                <w:rtl/>
                <w:lang w:bidi="fa-IR"/>
              </w:rPr>
              <w:softHyphen/>
              <w:t xml:space="preserve">العرب </w:t>
            </w:r>
          </w:p>
        </w:tc>
        <w:tc>
          <w:tcPr>
            <w:tcW w:w="1078" w:type="dxa"/>
          </w:tcPr>
          <w:p w:rsidR="00624477" w:rsidRPr="00E32E53" w:rsidRDefault="00624477" w:rsidP="000E2D9B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24477" w:rsidTr="000E2D9B">
        <w:trPr>
          <w:trHeight w:val="89"/>
          <w:jc w:val="center"/>
        </w:trPr>
        <w:tc>
          <w:tcPr>
            <w:tcW w:w="1975" w:type="dxa"/>
          </w:tcPr>
          <w:p w:rsidR="00624477" w:rsidRPr="00191356" w:rsidRDefault="00624477" w:rsidP="000E2D9B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7200" w:type="dxa"/>
          </w:tcPr>
          <w:p w:rsidR="00624477" w:rsidRPr="00191356" w:rsidRDefault="00624477" w:rsidP="00805B08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Nazanin"/>
                <w:sz w:val="26"/>
                <w:szCs w:val="26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6"/>
                <w:szCs w:val="26"/>
                <w:rtl/>
                <w:lang w:bidi="fa-IR"/>
              </w:rPr>
              <w:t>بررسی تاریخ و سیره رسول گرامی اسلام از ولادت تا بعثت و مبارزات اعتقادی</w:t>
            </w:r>
          </w:p>
        </w:tc>
        <w:tc>
          <w:tcPr>
            <w:tcW w:w="1078" w:type="dxa"/>
          </w:tcPr>
          <w:p w:rsidR="00624477" w:rsidRPr="00E32E53" w:rsidRDefault="00624477" w:rsidP="000E2D9B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24477" w:rsidTr="000E2D9B">
        <w:trPr>
          <w:trHeight w:val="197"/>
          <w:jc w:val="center"/>
        </w:trPr>
        <w:tc>
          <w:tcPr>
            <w:tcW w:w="1975" w:type="dxa"/>
          </w:tcPr>
          <w:p w:rsidR="00624477" w:rsidRPr="00191356" w:rsidRDefault="00624477" w:rsidP="000E2D9B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7200" w:type="dxa"/>
          </w:tcPr>
          <w:p w:rsidR="00624477" w:rsidRPr="00191356" w:rsidRDefault="00624477" w:rsidP="00805B08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Nazanin"/>
                <w:sz w:val="26"/>
                <w:szCs w:val="26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6"/>
                <w:szCs w:val="26"/>
                <w:rtl/>
                <w:lang w:bidi="fa-IR"/>
              </w:rPr>
              <w:t xml:space="preserve">بررسی بحث امامت با عنایت به آیات و روایات ، تاریخ خلافت خلفا </w:t>
            </w:r>
          </w:p>
        </w:tc>
        <w:tc>
          <w:tcPr>
            <w:tcW w:w="1078" w:type="dxa"/>
          </w:tcPr>
          <w:p w:rsidR="00624477" w:rsidRPr="00E32E53" w:rsidRDefault="00624477" w:rsidP="000E2D9B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24477" w:rsidTr="000E2D9B">
        <w:trPr>
          <w:trHeight w:val="206"/>
          <w:jc w:val="center"/>
        </w:trPr>
        <w:tc>
          <w:tcPr>
            <w:tcW w:w="1975" w:type="dxa"/>
          </w:tcPr>
          <w:p w:rsidR="00624477" w:rsidRPr="00191356" w:rsidRDefault="00624477" w:rsidP="000E2D9B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7200" w:type="dxa"/>
          </w:tcPr>
          <w:p w:rsidR="00624477" w:rsidRPr="00191356" w:rsidRDefault="00624477" w:rsidP="00805B08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Nazanin"/>
                <w:sz w:val="26"/>
                <w:szCs w:val="26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6"/>
                <w:szCs w:val="26"/>
                <w:rtl/>
                <w:lang w:bidi="fa-IR"/>
              </w:rPr>
              <w:t>دوران امامت امام حسن</w:t>
            </w:r>
            <w:r w:rsidR="00805B08">
              <w:rPr>
                <w:rFonts w:ascii="IranNastaliq" w:hAnsi="IranNastaliq" w:cs="B Nazanin" w:hint="cs"/>
                <w:sz w:val="26"/>
                <w:szCs w:val="26"/>
                <w:rtl/>
                <w:lang w:bidi="fa-IR"/>
              </w:rPr>
              <w:t xml:space="preserve"> ع و </w:t>
            </w:r>
            <w:r>
              <w:rPr>
                <w:rFonts w:ascii="IranNastaliq" w:hAnsi="IranNastaliq" w:cs="B Nazanin" w:hint="cs"/>
                <w:sz w:val="26"/>
                <w:szCs w:val="26"/>
                <w:rtl/>
                <w:lang w:bidi="fa-IR"/>
              </w:rPr>
              <w:t>علل صلح امام حسن (ع)</w:t>
            </w:r>
          </w:p>
        </w:tc>
        <w:tc>
          <w:tcPr>
            <w:tcW w:w="1078" w:type="dxa"/>
          </w:tcPr>
          <w:p w:rsidR="00624477" w:rsidRPr="00E32E53" w:rsidRDefault="00624477" w:rsidP="000E2D9B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24477" w:rsidTr="000E2D9B">
        <w:trPr>
          <w:trHeight w:val="215"/>
          <w:jc w:val="center"/>
        </w:trPr>
        <w:tc>
          <w:tcPr>
            <w:tcW w:w="1975" w:type="dxa"/>
          </w:tcPr>
          <w:p w:rsidR="00624477" w:rsidRPr="00191356" w:rsidRDefault="00624477" w:rsidP="000E2D9B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7200" w:type="dxa"/>
          </w:tcPr>
          <w:p w:rsidR="00624477" w:rsidRPr="00191356" w:rsidRDefault="00624477" w:rsidP="000E2D9B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Nazanin"/>
                <w:sz w:val="26"/>
                <w:szCs w:val="26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6"/>
                <w:szCs w:val="26"/>
                <w:rtl/>
                <w:lang w:bidi="fa-IR"/>
              </w:rPr>
              <w:t xml:space="preserve">بررسی دوران امامت امام حسین (ع)، زمینه نهضت امام </w:t>
            </w:r>
            <w:r w:rsidR="00805B08">
              <w:rPr>
                <w:rFonts w:ascii="IranNastaliq" w:hAnsi="IranNastaliq" w:cs="B Nazanin" w:hint="cs"/>
                <w:sz w:val="26"/>
                <w:szCs w:val="26"/>
                <w:rtl/>
                <w:lang w:bidi="fa-IR"/>
              </w:rPr>
              <w:t>حسین (ع)</w:t>
            </w:r>
          </w:p>
        </w:tc>
        <w:tc>
          <w:tcPr>
            <w:tcW w:w="1078" w:type="dxa"/>
          </w:tcPr>
          <w:p w:rsidR="00624477" w:rsidRPr="00E32E53" w:rsidRDefault="00624477" w:rsidP="000E2D9B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24477" w:rsidTr="000E2D9B">
        <w:trPr>
          <w:trHeight w:val="242"/>
          <w:jc w:val="center"/>
        </w:trPr>
        <w:tc>
          <w:tcPr>
            <w:tcW w:w="1975" w:type="dxa"/>
          </w:tcPr>
          <w:p w:rsidR="00624477" w:rsidRPr="00191356" w:rsidRDefault="00624477" w:rsidP="000E2D9B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7200" w:type="dxa"/>
          </w:tcPr>
          <w:p w:rsidR="00624477" w:rsidRPr="00191356" w:rsidRDefault="00624477" w:rsidP="00805B08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Nazanin"/>
                <w:sz w:val="26"/>
                <w:szCs w:val="26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6"/>
                <w:szCs w:val="26"/>
                <w:rtl/>
                <w:lang w:bidi="fa-IR"/>
              </w:rPr>
              <w:t xml:space="preserve">بررسی دوران زندگی امام سجاد (ع) و پیامدهای واقعه عاشورا، </w:t>
            </w:r>
          </w:p>
        </w:tc>
        <w:tc>
          <w:tcPr>
            <w:tcW w:w="1078" w:type="dxa"/>
          </w:tcPr>
          <w:p w:rsidR="00624477" w:rsidRPr="00E32E53" w:rsidRDefault="00624477" w:rsidP="000E2D9B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24477" w:rsidTr="000E2D9B">
        <w:trPr>
          <w:trHeight w:val="251"/>
          <w:jc w:val="center"/>
        </w:trPr>
        <w:tc>
          <w:tcPr>
            <w:tcW w:w="1975" w:type="dxa"/>
          </w:tcPr>
          <w:p w:rsidR="00624477" w:rsidRPr="00191356" w:rsidRDefault="00624477" w:rsidP="000E2D9B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7200" w:type="dxa"/>
          </w:tcPr>
          <w:p w:rsidR="00624477" w:rsidRPr="00191356" w:rsidRDefault="00624477" w:rsidP="00805B08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Nazanin"/>
                <w:sz w:val="26"/>
                <w:szCs w:val="26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6"/>
                <w:szCs w:val="26"/>
                <w:rtl/>
                <w:lang w:bidi="fa-IR"/>
              </w:rPr>
              <w:t xml:space="preserve">دوران شکوفایی فرهنگی امامت دوران خلافت امام جعفر صادق (ع) و امام محمد باقر (ع)، </w:t>
            </w:r>
          </w:p>
        </w:tc>
        <w:tc>
          <w:tcPr>
            <w:tcW w:w="1078" w:type="dxa"/>
          </w:tcPr>
          <w:p w:rsidR="00624477" w:rsidRPr="00E32E53" w:rsidRDefault="00624477" w:rsidP="000E2D9B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24477" w:rsidTr="000E2D9B">
        <w:trPr>
          <w:trHeight w:val="197"/>
          <w:jc w:val="center"/>
        </w:trPr>
        <w:tc>
          <w:tcPr>
            <w:tcW w:w="1975" w:type="dxa"/>
          </w:tcPr>
          <w:p w:rsidR="00624477" w:rsidRPr="00191356" w:rsidRDefault="00624477" w:rsidP="000E2D9B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7200" w:type="dxa"/>
          </w:tcPr>
          <w:p w:rsidR="00624477" w:rsidRPr="00191356" w:rsidRDefault="00624477" w:rsidP="00943F0F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Nazanin"/>
                <w:sz w:val="26"/>
                <w:szCs w:val="26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6"/>
                <w:szCs w:val="26"/>
                <w:rtl/>
                <w:lang w:bidi="fa-IR"/>
              </w:rPr>
              <w:t xml:space="preserve">دوران امامت امام موسی کاظم و امام رضا (ع) </w:t>
            </w:r>
          </w:p>
        </w:tc>
        <w:tc>
          <w:tcPr>
            <w:tcW w:w="1078" w:type="dxa"/>
          </w:tcPr>
          <w:p w:rsidR="00624477" w:rsidRPr="00E32E53" w:rsidRDefault="00624477" w:rsidP="000E2D9B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24477" w:rsidTr="000E2D9B">
        <w:trPr>
          <w:trHeight w:val="188"/>
          <w:jc w:val="center"/>
        </w:trPr>
        <w:tc>
          <w:tcPr>
            <w:tcW w:w="1975" w:type="dxa"/>
          </w:tcPr>
          <w:p w:rsidR="00624477" w:rsidRPr="00191356" w:rsidRDefault="00624477" w:rsidP="000E2D9B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7200" w:type="dxa"/>
          </w:tcPr>
          <w:p w:rsidR="00624477" w:rsidRPr="00191356" w:rsidRDefault="00624477" w:rsidP="00943F0F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Nazanin"/>
                <w:sz w:val="26"/>
                <w:szCs w:val="26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6"/>
                <w:szCs w:val="26"/>
                <w:rtl/>
                <w:lang w:bidi="fa-IR"/>
              </w:rPr>
              <w:t xml:space="preserve">بررسی دوران وکالت و سفارت در زمان امامت، </w:t>
            </w:r>
            <w:r w:rsidR="00943F0F">
              <w:rPr>
                <w:rFonts w:ascii="IranNastaliq" w:hAnsi="IranNastaliq" w:cs="B Nazanin" w:hint="cs"/>
                <w:sz w:val="26"/>
                <w:szCs w:val="26"/>
                <w:rtl/>
                <w:lang w:bidi="fa-IR"/>
              </w:rPr>
              <w:t>امام جواد و هادی علیهما السلام</w:t>
            </w:r>
          </w:p>
        </w:tc>
        <w:tc>
          <w:tcPr>
            <w:tcW w:w="1078" w:type="dxa"/>
          </w:tcPr>
          <w:p w:rsidR="00624477" w:rsidRPr="00E32E53" w:rsidRDefault="00624477" w:rsidP="000E2D9B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24477" w:rsidTr="000E2D9B">
        <w:trPr>
          <w:trHeight w:val="206"/>
          <w:jc w:val="center"/>
        </w:trPr>
        <w:tc>
          <w:tcPr>
            <w:tcW w:w="1975" w:type="dxa"/>
          </w:tcPr>
          <w:p w:rsidR="00624477" w:rsidRPr="00191356" w:rsidRDefault="00624477" w:rsidP="000E2D9B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7200" w:type="dxa"/>
          </w:tcPr>
          <w:p w:rsidR="00624477" w:rsidRPr="00191356" w:rsidRDefault="00624477" w:rsidP="00943F0F">
            <w:pPr>
              <w:widowControl w:val="0"/>
              <w:bidi/>
              <w:spacing w:before="240" w:line="192" w:lineRule="auto"/>
              <w:contextualSpacing/>
              <w:jc w:val="both"/>
              <w:rPr>
                <w:rFonts w:ascii="IranNastaliq" w:hAnsi="IranNastaliq" w:cs="B Nazanin"/>
                <w:sz w:val="26"/>
                <w:szCs w:val="26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6"/>
                <w:szCs w:val="26"/>
                <w:rtl/>
                <w:lang w:bidi="fa-IR"/>
              </w:rPr>
              <w:t xml:space="preserve">بررسی دوران امامت امام حسن عسکری (ع)، ایجاد سازمان وکالت در نظام امامت </w:t>
            </w:r>
          </w:p>
        </w:tc>
        <w:tc>
          <w:tcPr>
            <w:tcW w:w="1078" w:type="dxa"/>
          </w:tcPr>
          <w:p w:rsidR="00624477" w:rsidRPr="00E32E53" w:rsidRDefault="00624477" w:rsidP="000E2D9B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24477" w:rsidTr="000E2D9B">
        <w:trPr>
          <w:trHeight w:val="224"/>
          <w:jc w:val="center"/>
        </w:trPr>
        <w:tc>
          <w:tcPr>
            <w:tcW w:w="1975" w:type="dxa"/>
          </w:tcPr>
          <w:p w:rsidR="00624477" w:rsidRPr="00191356" w:rsidRDefault="00624477" w:rsidP="000E2D9B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7200" w:type="dxa"/>
          </w:tcPr>
          <w:p w:rsidR="00624477" w:rsidRPr="00191356" w:rsidRDefault="00624477" w:rsidP="000E2D9B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Nazanin"/>
                <w:sz w:val="26"/>
                <w:szCs w:val="26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6"/>
                <w:szCs w:val="26"/>
                <w:rtl/>
                <w:lang w:bidi="fa-IR"/>
              </w:rPr>
              <w:t>دوران امامت حضرت مهدی (عج) در عصر</w:t>
            </w:r>
            <w:r w:rsidR="00943F0F">
              <w:rPr>
                <w:rFonts w:ascii="IranNastaliq" w:hAnsi="IranNastaliq" w:cs="B Nazanin" w:hint="cs"/>
                <w:sz w:val="26"/>
                <w:szCs w:val="26"/>
                <w:rtl/>
                <w:lang w:bidi="fa-IR"/>
              </w:rPr>
              <w:t xml:space="preserve"> غیبت، سفرای چهارگانه، </w:t>
            </w:r>
          </w:p>
        </w:tc>
        <w:tc>
          <w:tcPr>
            <w:tcW w:w="1078" w:type="dxa"/>
          </w:tcPr>
          <w:p w:rsidR="00624477" w:rsidRPr="00E32E53" w:rsidRDefault="00624477" w:rsidP="000E2D9B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24477" w:rsidTr="000E2D9B">
        <w:trPr>
          <w:trHeight w:val="233"/>
          <w:jc w:val="center"/>
        </w:trPr>
        <w:tc>
          <w:tcPr>
            <w:tcW w:w="1975" w:type="dxa"/>
          </w:tcPr>
          <w:p w:rsidR="00624477" w:rsidRPr="00191356" w:rsidRDefault="00624477" w:rsidP="000E2D9B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7200" w:type="dxa"/>
          </w:tcPr>
          <w:p w:rsidR="00624477" w:rsidRPr="00191356" w:rsidRDefault="00624477" w:rsidP="000E2D9B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Nazanin"/>
                <w:sz w:val="26"/>
                <w:szCs w:val="26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6"/>
                <w:szCs w:val="26"/>
                <w:rtl/>
                <w:lang w:bidi="fa-IR"/>
              </w:rPr>
              <w:t>بررسی جامعه مهدویت و جهانی شدن، بررسی قیام و ظهور انقلاب حضرت مهدی (عج)، بررسی اصل ولایت فقیه (ولایت و رهبری جامعه اسلامی) در زمان غیبت.</w:t>
            </w:r>
          </w:p>
        </w:tc>
        <w:tc>
          <w:tcPr>
            <w:tcW w:w="1078" w:type="dxa"/>
          </w:tcPr>
          <w:p w:rsidR="00624477" w:rsidRPr="00E32E53" w:rsidRDefault="00624477" w:rsidP="000E2D9B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24477" w:rsidTr="009F4F76">
        <w:trPr>
          <w:trHeight w:val="464"/>
          <w:jc w:val="center"/>
        </w:trPr>
        <w:tc>
          <w:tcPr>
            <w:tcW w:w="1975" w:type="dxa"/>
          </w:tcPr>
          <w:p w:rsidR="00624477" w:rsidRPr="00191356" w:rsidRDefault="00624477" w:rsidP="000E2D9B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7200" w:type="dxa"/>
          </w:tcPr>
          <w:p w:rsidR="00624477" w:rsidRPr="00191356" w:rsidRDefault="00624477" w:rsidP="00805B08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Nazanin"/>
                <w:sz w:val="26"/>
                <w:szCs w:val="26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6"/>
                <w:szCs w:val="26"/>
                <w:rtl/>
                <w:lang w:bidi="fa-IR"/>
              </w:rPr>
              <w:t xml:space="preserve">بررسی نتایج حاصله از فراگیری درس تاریخ در طول ترم </w:t>
            </w:r>
          </w:p>
        </w:tc>
        <w:tc>
          <w:tcPr>
            <w:tcW w:w="1078" w:type="dxa"/>
          </w:tcPr>
          <w:p w:rsidR="00624477" w:rsidRPr="00E32E53" w:rsidRDefault="00624477" w:rsidP="000E2D9B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</w:tbl>
    <w:p w:rsidR="00624477" w:rsidRPr="005C644B" w:rsidRDefault="00624477" w:rsidP="00624477">
      <w:pPr>
        <w:tabs>
          <w:tab w:val="left" w:pos="5910"/>
        </w:tabs>
        <w:bidi/>
        <w:jc w:val="both"/>
        <w:rPr>
          <w:rFonts w:ascii="IranNastaliq" w:hAnsi="IranNastaliq" w:cs="IranNastaliq"/>
          <w:rtl/>
          <w:lang w:bidi="fa-IR"/>
        </w:rPr>
      </w:pPr>
    </w:p>
    <w:p w:rsidR="002F67D7" w:rsidRDefault="002F67D7">
      <w:pPr>
        <w:rPr>
          <w:rtl/>
          <w:lang w:bidi="fa-IR"/>
        </w:rPr>
      </w:pPr>
    </w:p>
    <w:sectPr w:rsidR="002F67D7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00000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477"/>
    <w:rsid w:val="00267244"/>
    <w:rsid w:val="002F67D7"/>
    <w:rsid w:val="00624477"/>
    <w:rsid w:val="00805B08"/>
    <w:rsid w:val="00943F0F"/>
    <w:rsid w:val="009A3EA8"/>
    <w:rsid w:val="009F4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44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44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44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44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parsain</dc:creator>
  <cp:keywords/>
  <dc:description/>
  <cp:lastModifiedBy>Maaref_pc</cp:lastModifiedBy>
  <cp:revision>6</cp:revision>
  <dcterms:created xsi:type="dcterms:W3CDTF">2019-02-13T11:30:00Z</dcterms:created>
  <dcterms:modified xsi:type="dcterms:W3CDTF">2022-02-02T09:14:00Z</dcterms:modified>
</cp:coreProperties>
</file>